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7F" w:rsidRPr="00A13260" w:rsidRDefault="00457C7F" w:rsidP="00457C7F">
      <w:pPr>
        <w:pStyle w:val="Cmsor2"/>
        <w:spacing w:line="240" w:lineRule="auto"/>
        <w:ind w:left="0" w:right="0"/>
        <w:jc w:val="center"/>
        <w:rPr>
          <w:rFonts w:ascii="Georgia" w:hAnsi="Georgia"/>
          <w:b/>
          <w:spacing w:val="-2"/>
          <w:sz w:val="20"/>
        </w:rPr>
      </w:pPr>
      <w:bookmarkStart w:id="0" w:name="_GoBack"/>
      <w:bookmarkEnd w:id="0"/>
      <w:r w:rsidRPr="00A13260">
        <w:rPr>
          <w:rFonts w:ascii="Georgia" w:hAnsi="Georgia"/>
          <w:b/>
          <w:spacing w:val="-2"/>
          <w:sz w:val="20"/>
        </w:rPr>
        <w:t>Sajtódiskurzus-</w:t>
      </w:r>
      <w:r w:rsidR="006F193B" w:rsidRPr="00A13260">
        <w:rPr>
          <w:rFonts w:ascii="Georgia" w:hAnsi="Georgia"/>
          <w:b/>
          <w:spacing w:val="-2"/>
          <w:sz w:val="20"/>
        </w:rPr>
        <w:t>elemzés</w:t>
      </w:r>
    </w:p>
    <w:p w:rsidR="00457C7F" w:rsidRPr="00A13260" w:rsidRDefault="00457C7F" w:rsidP="00457C7F">
      <w:pPr>
        <w:jc w:val="center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>Sebestyén Attila</w:t>
      </w:r>
    </w:p>
    <w:p w:rsidR="00457C7F" w:rsidRPr="00A13260" w:rsidRDefault="00F2696D" w:rsidP="00457C7F">
      <w:pPr>
        <w:jc w:val="center"/>
        <w:rPr>
          <w:rFonts w:ascii="Georgia" w:hAnsi="Georgia"/>
          <w:i/>
          <w:sz w:val="20"/>
        </w:rPr>
      </w:pPr>
      <w:hyperlink r:id="rId7" w:history="1">
        <w:r w:rsidRPr="00A13260">
          <w:rPr>
            <w:rStyle w:val="Hiperhivatkozs"/>
            <w:rFonts w:ascii="Georgia" w:hAnsi="Georgia"/>
            <w:sz w:val="20"/>
          </w:rPr>
          <w:t>sebestyen.attila@arts.unideb.hu</w:t>
        </w:r>
      </w:hyperlink>
    </w:p>
    <w:p w:rsidR="007D182E" w:rsidRPr="00A13260" w:rsidRDefault="007D182E" w:rsidP="007D182E">
      <w:pPr>
        <w:rPr>
          <w:rFonts w:ascii="Georgia" w:hAnsi="Georgia"/>
          <w:sz w:val="20"/>
        </w:rPr>
      </w:pPr>
    </w:p>
    <w:p w:rsidR="007D182E" w:rsidRPr="00A13260" w:rsidRDefault="007D182E" w:rsidP="007D182E">
      <w:pPr>
        <w:rPr>
          <w:rFonts w:ascii="Georgia" w:hAnsi="Georgia"/>
          <w:sz w:val="20"/>
        </w:rPr>
      </w:pPr>
    </w:p>
    <w:p w:rsidR="007D182E" w:rsidRPr="00A13260" w:rsidRDefault="007D182E" w:rsidP="00ED0A15">
      <w:pPr>
        <w:pStyle w:val="Cmsor2"/>
        <w:spacing w:line="240" w:lineRule="auto"/>
        <w:ind w:left="0" w:right="0"/>
        <w:rPr>
          <w:rFonts w:ascii="Georgia" w:hAnsi="Georgia"/>
          <w:b/>
          <w:sz w:val="20"/>
        </w:rPr>
      </w:pPr>
      <w:r w:rsidRPr="00A13260">
        <w:rPr>
          <w:rFonts w:ascii="Georgia" w:hAnsi="Georgia"/>
          <w:b/>
          <w:sz w:val="20"/>
        </w:rPr>
        <w:t>A kurzus leírása</w:t>
      </w:r>
    </w:p>
    <w:p w:rsidR="00D341B2" w:rsidRPr="00A13260" w:rsidRDefault="00265536" w:rsidP="0011261A">
      <w:pPr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>A szeminárium a nyilvánosság</w:t>
      </w:r>
      <w:r w:rsidR="00587DF6" w:rsidRPr="00A13260">
        <w:rPr>
          <w:rFonts w:ascii="Georgia" w:hAnsi="Georgia"/>
          <w:sz w:val="20"/>
        </w:rPr>
        <w:t>ot és</w:t>
      </w:r>
      <w:r w:rsidR="002F5077" w:rsidRPr="00A13260">
        <w:rPr>
          <w:rFonts w:ascii="Georgia" w:hAnsi="Georgia"/>
          <w:sz w:val="20"/>
        </w:rPr>
        <w:t xml:space="preserve"> a közbeszédet alakító diszkurz</w:t>
      </w:r>
      <w:r w:rsidR="000F7296" w:rsidRPr="00A13260">
        <w:rPr>
          <w:rFonts w:ascii="Georgia" w:hAnsi="Georgia"/>
          <w:sz w:val="20"/>
        </w:rPr>
        <w:t>í</w:t>
      </w:r>
      <w:r w:rsidR="002F5077" w:rsidRPr="00A13260">
        <w:rPr>
          <w:rFonts w:ascii="Georgia" w:hAnsi="Georgia"/>
          <w:sz w:val="20"/>
        </w:rPr>
        <w:t>v szokásrendekbe</w:t>
      </w:r>
      <w:r w:rsidR="0074032D" w:rsidRPr="00A13260">
        <w:rPr>
          <w:rFonts w:ascii="Georgia" w:hAnsi="Georgia"/>
          <w:sz w:val="20"/>
        </w:rPr>
        <w:t xml:space="preserve"> kíván </w:t>
      </w:r>
      <w:r w:rsidRPr="00A13260">
        <w:rPr>
          <w:rFonts w:ascii="Georgia" w:hAnsi="Georgia"/>
          <w:sz w:val="20"/>
        </w:rPr>
        <w:t>betekintést nyújtani. D</w:t>
      </w:r>
      <w:r w:rsidR="0074032D" w:rsidRPr="00A13260">
        <w:rPr>
          <w:rFonts w:ascii="Georgia" w:hAnsi="Georgia"/>
          <w:sz w:val="20"/>
        </w:rPr>
        <w:t>öntően az írott sajtó</w:t>
      </w:r>
      <w:r w:rsidR="000F7296" w:rsidRPr="00A13260">
        <w:rPr>
          <w:rFonts w:ascii="Georgia" w:hAnsi="Georgia"/>
          <w:sz w:val="20"/>
        </w:rPr>
        <w:t>, s</w:t>
      </w:r>
      <w:r w:rsidR="00121503" w:rsidRPr="00A13260">
        <w:rPr>
          <w:rFonts w:ascii="Georgia" w:hAnsi="Georgia"/>
          <w:sz w:val="20"/>
        </w:rPr>
        <w:t xml:space="preserve"> emellett</w:t>
      </w:r>
      <w:r w:rsidR="000F7296" w:rsidRPr="00A13260">
        <w:rPr>
          <w:rFonts w:ascii="Georgia" w:hAnsi="Georgia"/>
          <w:sz w:val="20"/>
        </w:rPr>
        <w:t xml:space="preserve"> kiegészítésül </w:t>
      </w:r>
      <w:r w:rsidR="004D7EAA" w:rsidRPr="00A13260">
        <w:rPr>
          <w:rFonts w:ascii="Georgia" w:hAnsi="Georgia"/>
          <w:sz w:val="20"/>
        </w:rPr>
        <w:t xml:space="preserve">a sajtókapcsolatok és az </w:t>
      </w:r>
      <w:r w:rsidR="000F7296" w:rsidRPr="00A13260">
        <w:rPr>
          <w:rFonts w:ascii="Georgia" w:hAnsi="Georgia"/>
          <w:sz w:val="20"/>
        </w:rPr>
        <w:t>intézményi kommunikáció területei</w:t>
      </w:r>
      <w:r w:rsidR="004D7EAA" w:rsidRPr="00A13260">
        <w:rPr>
          <w:rFonts w:ascii="Georgia" w:hAnsi="Georgia"/>
          <w:sz w:val="20"/>
        </w:rPr>
        <w:t>ről hozott</w:t>
      </w:r>
      <w:r w:rsidR="00121503" w:rsidRPr="00A13260">
        <w:rPr>
          <w:rFonts w:ascii="Georgia" w:hAnsi="Georgia"/>
          <w:sz w:val="20"/>
        </w:rPr>
        <w:t xml:space="preserve"> példák segítségével.</w:t>
      </w:r>
      <w:r w:rsidR="00D341B2" w:rsidRPr="00A13260">
        <w:rPr>
          <w:rFonts w:ascii="Georgia" w:hAnsi="Georgia"/>
          <w:sz w:val="20"/>
        </w:rPr>
        <w:t xml:space="preserve"> </w:t>
      </w:r>
    </w:p>
    <w:p w:rsidR="00711D88" w:rsidRPr="00A13260" w:rsidRDefault="002C6B75" w:rsidP="0011261A">
      <w:pPr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 xml:space="preserve">A félév első felében szakirodalmi szövegek </w:t>
      </w:r>
      <w:r w:rsidR="00121503" w:rsidRPr="00A13260">
        <w:rPr>
          <w:rFonts w:ascii="Georgia" w:hAnsi="Georgia"/>
          <w:sz w:val="20"/>
        </w:rPr>
        <w:t>révén</w:t>
      </w:r>
      <w:r w:rsidRPr="00A13260">
        <w:rPr>
          <w:rFonts w:ascii="Georgia" w:hAnsi="Georgia"/>
          <w:sz w:val="20"/>
        </w:rPr>
        <w:t xml:space="preserve"> ismerkedünk meg az elemzéshez szükséges</w:t>
      </w:r>
      <w:r w:rsidR="0011261A" w:rsidRPr="00A13260">
        <w:rPr>
          <w:rFonts w:ascii="Georgia" w:hAnsi="Georgia"/>
          <w:sz w:val="20"/>
        </w:rPr>
        <w:t xml:space="preserve"> </w:t>
      </w:r>
      <w:r w:rsidRPr="00A13260">
        <w:rPr>
          <w:rFonts w:ascii="Georgia" w:hAnsi="Georgia"/>
          <w:sz w:val="20"/>
        </w:rPr>
        <w:t>legalapvetőbb fogalmakkal</w:t>
      </w:r>
      <w:r w:rsidR="00121503" w:rsidRPr="00A13260">
        <w:rPr>
          <w:rFonts w:ascii="Georgia" w:hAnsi="Georgia"/>
          <w:sz w:val="20"/>
        </w:rPr>
        <w:t xml:space="preserve"> és módszerekkel</w:t>
      </w:r>
      <w:r w:rsidRPr="00A13260">
        <w:rPr>
          <w:rFonts w:ascii="Georgia" w:hAnsi="Georgia"/>
          <w:sz w:val="20"/>
        </w:rPr>
        <w:t>.</w:t>
      </w:r>
      <w:r w:rsidR="00A2611D" w:rsidRPr="00A13260">
        <w:rPr>
          <w:rFonts w:ascii="Georgia" w:hAnsi="Georgia"/>
          <w:sz w:val="20"/>
        </w:rPr>
        <w:t xml:space="preserve"> </w:t>
      </w:r>
      <w:r w:rsidR="0011261A" w:rsidRPr="00A13260">
        <w:rPr>
          <w:rFonts w:ascii="Georgia" w:hAnsi="Georgia"/>
          <w:sz w:val="20"/>
        </w:rPr>
        <w:t xml:space="preserve">Már </w:t>
      </w:r>
      <w:r w:rsidR="00E837CD" w:rsidRPr="00A13260">
        <w:rPr>
          <w:rFonts w:ascii="Georgia" w:hAnsi="Georgia"/>
          <w:sz w:val="20"/>
        </w:rPr>
        <w:t>e szakasz</w:t>
      </w:r>
      <w:r w:rsidR="0011261A" w:rsidRPr="00A13260">
        <w:rPr>
          <w:rFonts w:ascii="Georgia" w:hAnsi="Georgia"/>
          <w:sz w:val="20"/>
        </w:rPr>
        <w:t xml:space="preserve">ban is </w:t>
      </w:r>
      <w:r w:rsidR="00A97004" w:rsidRPr="00A13260">
        <w:rPr>
          <w:rFonts w:ascii="Georgia" w:hAnsi="Georgia"/>
          <w:sz w:val="20"/>
        </w:rPr>
        <w:t>sorra végzünk közös elemzéseket</w:t>
      </w:r>
      <w:r w:rsidR="0011261A" w:rsidRPr="00A13260">
        <w:rPr>
          <w:rFonts w:ascii="Georgia" w:hAnsi="Georgia"/>
          <w:sz w:val="20"/>
        </w:rPr>
        <w:t xml:space="preserve">, </w:t>
      </w:r>
      <w:r w:rsidR="00121503" w:rsidRPr="00A13260">
        <w:rPr>
          <w:rFonts w:ascii="Georgia" w:hAnsi="Georgia"/>
          <w:sz w:val="20"/>
        </w:rPr>
        <w:t>hogy példákkal szolgáljunk</w:t>
      </w:r>
      <w:r w:rsidR="00711D88" w:rsidRPr="00A13260">
        <w:rPr>
          <w:rFonts w:ascii="Georgia" w:hAnsi="Georgia"/>
          <w:sz w:val="20"/>
        </w:rPr>
        <w:t xml:space="preserve"> </w:t>
      </w:r>
      <w:r w:rsidR="00E65647" w:rsidRPr="00A13260">
        <w:rPr>
          <w:rFonts w:ascii="Georgia" w:hAnsi="Georgia"/>
          <w:sz w:val="20"/>
        </w:rPr>
        <w:t>a kés</w:t>
      </w:r>
      <w:r w:rsidR="00D341B2" w:rsidRPr="00A13260">
        <w:rPr>
          <w:rFonts w:ascii="Georgia" w:hAnsi="Georgia"/>
          <w:sz w:val="20"/>
        </w:rPr>
        <w:t>őbbi</w:t>
      </w:r>
      <w:r w:rsidR="00711D88" w:rsidRPr="00A13260">
        <w:rPr>
          <w:rFonts w:ascii="Georgia" w:hAnsi="Georgia"/>
          <w:sz w:val="20"/>
        </w:rPr>
        <w:t xml:space="preserve"> </w:t>
      </w:r>
      <w:r w:rsidR="00D341B2" w:rsidRPr="00A13260">
        <w:rPr>
          <w:rFonts w:ascii="Georgia" w:hAnsi="Georgia"/>
          <w:sz w:val="20"/>
        </w:rPr>
        <w:t xml:space="preserve">egyéni feladatok </w:t>
      </w:r>
      <w:r w:rsidR="00A97004" w:rsidRPr="00A13260">
        <w:rPr>
          <w:rFonts w:ascii="Georgia" w:hAnsi="Georgia"/>
          <w:sz w:val="20"/>
        </w:rPr>
        <w:t>teljesítéséhez</w:t>
      </w:r>
      <w:r w:rsidR="00D341B2" w:rsidRPr="00A13260">
        <w:rPr>
          <w:rFonts w:ascii="Georgia" w:hAnsi="Georgia"/>
          <w:sz w:val="20"/>
        </w:rPr>
        <w:t>.</w:t>
      </w:r>
    </w:p>
    <w:p w:rsidR="00F61E65" w:rsidRPr="00A13260" w:rsidRDefault="0011261A" w:rsidP="002C6B75">
      <w:pPr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 xml:space="preserve">A </w:t>
      </w:r>
      <w:r w:rsidR="00E837CD" w:rsidRPr="00A13260">
        <w:rPr>
          <w:rFonts w:ascii="Georgia" w:hAnsi="Georgia"/>
          <w:sz w:val="20"/>
        </w:rPr>
        <w:t>szemeszter</w:t>
      </w:r>
      <w:r w:rsidRPr="00A13260">
        <w:rPr>
          <w:rFonts w:ascii="Georgia" w:hAnsi="Georgia"/>
          <w:sz w:val="20"/>
        </w:rPr>
        <w:t xml:space="preserve"> második felében</w:t>
      </w:r>
      <w:r w:rsidR="00F61E65" w:rsidRPr="00A13260">
        <w:rPr>
          <w:rFonts w:ascii="Georgia" w:hAnsi="Georgia"/>
          <w:sz w:val="20"/>
        </w:rPr>
        <w:t xml:space="preserve"> minden hallgatónak el kel</w:t>
      </w:r>
      <w:r w:rsidR="0043033E" w:rsidRPr="00A13260">
        <w:rPr>
          <w:rFonts w:ascii="Georgia" w:hAnsi="Georgia"/>
          <w:sz w:val="20"/>
        </w:rPr>
        <w:t>l majd készítenie egy önálló pro</w:t>
      </w:r>
      <w:r w:rsidR="00F61E65" w:rsidRPr="00A13260">
        <w:rPr>
          <w:rFonts w:ascii="Georgia" w:hAnsi="Georgia"/>
          <w:sz w:val="20"/>
        </w:rPr>
        <w:t>jektmunkát, s ezt órai referátum keretei közt bemutatnia.</w:t>
      </w:r>
    </w:p>
    <w:p w:rsidR="00F61E65" w:rsidRPr="00A13260" w:rsidRDefault="00F61E65" w:rsidP="002C6B75">
      <w:pPr>
        <w:jc w:val="both"/>
        <w:rPr>
          <w:rFonts w:ascii="Georgia" w:hAnsi="Georgia"/>
          <w:sz w:val="20"/>
        </w:rPr>
      </w:pPr>
    </w:p>
    <w:p w:rsidR="007D182E" w:rsidRPr="00A13260" w:rsidRDefault="007D182E" w:rsidP="00ED0A15">
      <w:pPr>
        <w:jc w:val="both"/>
        <w:rPr>
          <w:rFonts w:ascii="Georgia" w:hAnsi="Georgia"/>
          <w:b/>
          <w:sz w:val="20"/>
        </w:rPr>
      </w:pPr>
      <w:r w:rsidRPr="00A13260">
        <w:rPr>
          <w:rFonts w:ascii="Georgia" w:hAnsi="Georgia"/>
          <w:b/>
          <w:sz w:val="20"/>
        </w:rPr>
        <w:t>Követelmények, feladatok</w:t>
      </w:r>
    </w:p>
    <w:p w:rsidR="004C11B1" w:rsidRPr="00A13260" w:rsidRDefault="00D5526F" w:rsidP="00055DDE">
      <w:pPr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 xml:space="preserve">1. </w:t>
      </w:r>
      <w:r w:rsidR="002D757E" w:rsidRPr="00A13260">
        <w:rPr>
          <w:rFonts w:ascii="Georgia" w:hAnsi="Georgia"/>
          <w:sz w:val="20"/>
        </w:rPr>
        <w:t xml:space="preserve">Órai </w:t>
      </w:r>
      <w:r w:rsidR="00FE6EC7">
        <w:rPr>
          <w:rFonts w:ascii="Georgia" w:hAnsi="Georgia"/>
          <w:sz w:val="20"/>
        </w:rPr>
        <w:t>elemzések</w:t>
      </w:r>
    </w:p>
    <w:p w:rsidR="004C11B1" w:rsidRPr="00A13260" w:rsidRDefault="003D18EE" w:rsidP="00055DDE">
      <w:pPr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>2</w:t>
      </w:r>
      <w:r w:rsidR="00D5526F" w:rsidRPr="00A13260">
        <w:rPr>
          <w:rFonts w:ascii="Georgia" w:hAnsi="Georgia"/>
          <w:sz w:val="20"/>
        </w:rPr>
        <w:t xml:space="preserve">. </w:t>
      </w:r>
      <w:r w:rsidR="00845954" w:rsidRPr="00A13260">
        <w:rPr>
          <w:rFonts w:ascii="Georgia" w:hAnsi="Georgia"/>
          <w:sz w:val="20"/>
        </w:rPr>
        <w:t>E</w:t>
      </w:r>
      <w:r w:rsidR="00F75C9F" w:rsidRPr="00A13260">
        <w:rPr>
          <w:rFonts w:ascii="Georgia" w:hAnsi="Georgia"/>
          <w:sz w:val="20"/>
        </w:rPr>
        <w:t xml:space="preserve">gyéni </w:t>
      </w:r>
      <w:r w:rsidR="007535C9" w:rsidRPr="00A13260">
        <w:rPr>
          <w:rFonts w:ascii="Georgia" w:hAnsi="Georgia"/>
          <w:sz w:val="20"/>
        </w:rPr>
        <w:t>sajtófigyelő-sajtó</w:t>
      </w:r>
      <w:r w:rsidR="00C62820" w:rsidRPr="00A13260">
        <w:rPr>
          <w:rFonts w:ascii="Georgia" w:hAnsi="Georgia"/>
          <w:sz w:val="20"/>
        </w:rPr>
        <w:t xml:space="preserve">elemző </w:t>
      </w:r>
      <w:r w:rsidR="00F75C9F" w:rsidRPr="00A13260">
        <w:rPr>
          <w:rFonts w:ascii="Georgia" w:hAnsi="Georgia"/>
          <w:sz w:val="20"/>
        </w:rPr>
        <w:t>projektmunka elkészítése és bemutatása</w:t>
      </w:r>
      <w:r w:rsidR="00845954" w:rsidRPr="00A13260">
        <w:rPr>
          <w:rFonts w:ascii="Georgia" w:hAnsi="Georgia"/>
          <w:sz w:val="20"/>
        </w:rPr>
        <w:t>.</w:t>
      </w:r>
    </w:p>
    <w:p w:rsidR="00681D60" w:rsidRPr="00A13260" w:rsidRDefault="00D5526F" w:rsidP="001C267E">
      <w:pPr>
        <w:ind w:left="993" w:hanging="285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>•</w:t>
      </w:r>
      <w:r w:rsidR="00F75C9F" w:rsidRPr="00A13260">
        <w:rPr>
          <w:rFonts w:ascii="Georgia" w:hAnsi="Georgia"/>
          <w:sz w:val="20"/>
        </w:rPr>
        <w:t xml:space="preserve"> </w:t>
      </w:r>
      <w:r w:rsidR="00764CC5" w:rsidRPr="00A13260">
        <w:rPr>
          <w:rFonts w:ascii="Georgia" w:hAnsi="Georgia"/>
          <w:sz w:val="20"/>
        </w:rPr>
        <w:t>választható területek:</w:t>
      </w:r>
      <w:r w:rsidRPr="00A13260">
        <w:rPr>
          <w:rFonts w:ascii="Georgia" w:hAnsi="Georgia"/>
          <w:sz w:val="20"/>
        </w:rPr>
        <w:t xml:space="preserve"> egy közéleti téma sajtóvisszhangjának </w:t>
      </w:r>
      <w:r w:rsidR="000018FC" w:rsidRPr="00A13260">
        <w:rPr>
          <w:rFonts w:ascii="Georgia" w:hAnsi="Georgia"/>
          <w:sz w:val="20"/>
        </w:rPr>
        <w:t xml:space="preserve"> vagy egy cég/ </w:t>
      </w:r>
      <w:r w:rsidR="00681D60" w:rsidRPr="00A13260">
        <w:rPr>
          <w:rFonts w:ascii="Georgia" w:hAnsi="Georgia"/>
          <w:sz w:val="20"/>
        </w:rPr>
        <w:t>intézmény sajtómegjelenéseinek elemzése</w:t>
      </w:r>
    </w:p>
    <w:p w:rsidR="00F75C9F" w:rsidRPr="00A13260" w:rsidRDefault="00F75C9F" w:rsidP="00F75C9F">
      <w:pPr>
        <w:tabs>
          <w:tab w:val="left" w:pos="284"/>
        </w:tabs>
        <w:ind w:left="360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ab/>
      </w:r>
      <w:r w:rsidR="00D5526F" w:rsidRPr="00A13260">
        <w:rPr>
          <w:rFonts w:ascii="Georgia" w:hAnsi="Georgia"/>
          <w:sz w:val="20"/>
        </w:rPr>
        <w:t>•</w:t>
      </w:r>
      <w:r w:rsidRPr="00A13260">
        <w:rPr>
          <w:rFonts w:ascii="Georgia" w:hAnsi="Georgia"/>
          <w:sz w:val="20"/>
        </w:rPr>
        <w:t xml:space="preserve"> </w:t>
      </w:r>
      <w:r w:rsidR="003C43E0" w:rsidRPr="00A13260">
        <w:rPr>
          <w:rFonts w:ascii="Georgia" w:hAnsi="Georgia"/>
          <w:sz w:val="20"/>
        </w:rPr>
        <w:t xml:space="preserve">a projektmunka </w:t>
      </w:r>
      <w:r w:rsidR="00E923F7" w:rsidRPr="00A13260">
        <w:rPr>
          <w:rFonts w:ascii="Georgia" w:hAnsi="Georgia"/>
          <w:sz w:val="20"/>
        </w:rPr>
        <w:t xml:space="preserve">bemutatása </w:t>
      </w:r>
      <w:r w:rsidRPr="00A13260">
        <w:rPr>
          <w:rFonts w:ascii="Georgia" w:hAnsi="Georgia"/>
          <w:sz w:val="20"/>
        </w:rPr>
        <w:t>s</w:t>
      </w:r>
      <w:r w:rsidR="00E923F7" w:rsidRPr="00A13260">
        <w:rPr>
          <w:rFonts w:ascii="Georgia" w:hAnsi="Georgia"/>
          <w:sz w:val="20"/>
        </w:rPr>
        <w:t>zóbeli referátumké</w:t>
      </w:r>
      <w:r w:rsidRPr="00A13260">
        <w:rPr>
          <w:rFonts w:ascii="Georgia" w:hAnsi="Georgia"/>
          <w:sz w:val="20"/>
        </w:rPr>
        <w:t>nt</w:t>
      </w:r>
    </w:p>
    <w:p w:rsidR="00F10151" w:rsidRPr="00A13260" w:rsidRDefault="00F75C9F" w:rsidP="00FE6EC7">
      <w:pPr>
        <w:ind w:left="360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ab/>
      </w:r>
      <w:r w:rsidR="00D5526F" w:rsidRPr="00A13260">
        <w:rPr>
          <w:rFonts w:ascii="Georgia" w:hAnsi="Georgia"/>
          <w:sz w:val="20"/>
        </w:rPr>
        <w:t>•</w:t>
      </w:r>
      <w:r w:rsidRPr="00A13260">
        <w:rPr>
          <w:rFonts w:ascii="Georgia" w:hAnsi="Georgia"/>
          <w:sz w:val="20"/>
        </w:rPr>
        <w:t xml:space="preserve"> </w:t>
      </w:r>
      <w:r w:rsidR="003C43E0" w:rsidRPr="00A13260">
        <w:rPr>
          <w:rFonts w:ascii="Georgia" w:hAnsi="Georgia"/>
          <w:sz w:val="20"/>
        </w:rPr>
        <w:t xml:space="preserve">az elemzés </w:t>
      </w:r>
      <w:r w:rsidR="00E923F7" w:rsidRPr="00A13260">
        <w:rPr>
          <w:rFonts w:ascii="Georgia" w:hAnsi="Georgia"/>
          <w:sz w:val="20"/>
        </w:rPr>
        <w:t xml:space="preserve">benyújtása írásos formában is (minimum </w:t>
      </w:r>
      <w:r w:rsidR="00BD71EF" w:rsidRPr="00A13260">
        <w:rPr>
          <w:rFonts w:ascii="Georgia" w:hAnsi="Georgia"/>
          <w:sz w:val="20"/>
        </w:rPr>
        <w:t>5</w:t>
      </w:r>
      <w:r w:rsidRPr="00A13260">
        <w:rPr>
          <w:rFonts w:ascii="Georgia" w:hAnsi="Georgia"/>
          <w:sz w:val="20"/>
        </w:rPr>
        <w:t xml:space="preserve"> oldal terjedelemben</w:t>
      </w:r>
      <w:r w:rsidR="00E923F7" w:rsidRPr="00A13260">
        <w:rPr>
          <w:rFonts w:ascii="Georgia" w:hAnsi="Georgia"/>
          <w:sz w:val="20"/>
        </w:rPr>
        <w:t>)</w:t>
      </w:r>
      <w:r w:rsidR="005759FC" w:rsidRPr="00A13260">
        <w:rPr>
          <w:rFonts w:ascii="Georgia" w:hAnsi="Georgia"/>
          <w:sz w:val="20"/>
        </w:rPr>
        <w:tab/>
      </w:r>
    </w:p>
    <w:p w:rsidR="00B454BE" w:rsidRPr="00A13260" w:rsidRDefault="003D18EE" w:rsidP="00B454BE">
      <w:pPr>
        <w:tabs>
          <w:tab w:val="left" w:pos="284"/>
        </w:tabs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>3. Egy csoporttárs projektmunkájának véleményezése.</w:t>
      </w:r>
    </w:p>
    <w:p w:rsidR="00B454BE" w:rsidRPr="00A13260" w:rsidRDefault="00B454BE" w:rsidP="00B454BE">
      <w:pPr>
        <w:tabs>
          <w:tab w:val="left" w:pos="284"/>
        </w:tabs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ab/>
      </w:r>
      <w:r w:rsidRPr="00A13260">
        <w:rPr>
          <w:rFonts w:ascii="Georgia" w:hAnsi="Georgia"/>
          <w:sz w:val="20"/>
        </w:rPr>
        <w:tab/>
        <w:t>•</w:t>
      </w:r>
      <w:r w:rsidR="003D18EE" w:rsidRPr="00A13260">
        <w:rPr>
          <w:rFonts w:ascii="Georgia" w:hAnsi="Georgia"/>
          <w:sz w:val="20"/>
        </w:rPr>
        <w:t xml:space="preserve"> </w:t>
      </w:r>
      <w:r w:rsidR="005A3599" w:rsidRPr="00A13260">
        <w:rPr>
          <w:rFonts w:ascii="Georgia" w:hAnsi="Georgia"/>
          <w:sz w:val="20"/>
        </w:rPr>
        <w:t xml:space="preserve">élőszóbeli bírálat a hallgatótárs </w:t>
      </w:r>
      <w:r w:rsidR="003D18EE" w:rsidRPr="00A13260">
        <w:rPr>
          <w:rFonts w:ascii="Georgia" w:hAnsi="Georgia"/>
          <w:sz w:val="20"/>
        </w:rPr>
        <w:t>anyag</w:t>
      </w:r>
      <w:r w:rsidR="005A3599" w:rsidRPr="00A13260">
        <w:rPr>
          <w:rFonts w:ascii="Georgia" w:hAnsi="Georgia"/>
          <w:sz w:val="20"/>
        </w:rPr>
        <w:t>ának</w:t>
      </w:r>
      <w:r w:rsidR="003D18EE" w:rsidRPr="00A13260">
        <w:rPr>
          <w:rFonts w:ascii="Georgia" w:hAnsi="Georgia"/>
          <w:sz w:val="20"/>
        </w:rPr>
        <w:t xml:space="preserve"> prezentálásakor</w:t>
      </w:r>
    </w:p>
    <w:p w:rsidR="003D18EE" w:rsidRPr="00A13260" w:rsidRDefault="00B454BE" w:rsidP="00B454BE">
      <w:pPr>
        <w:tabs>
          <w:tab w:val="left" w:pos="284"/>
        </w:tabs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ab/>
      </w:r>
      <w:r w:rsidRPr="00A13260">
        <w:rPr>
          <w:rFonts w:ascii="Georgia" w:hAnsi="Georgia"/>
          <w:sz w:val="20"/>
        </w:rPr>
        <w:tab/>
        <w:t xml:space="preserve">• </w:t>
      </w:r>
      <w:r w:rsidR="00AD3D02" w:rsidRPr="00A13260">
        <w:rPr>
          <w:rFonts w:ascii="Georgia" w:hAnsi="Georgia"/>
          <w:sz w:val="20"/>
        </w:rPr>
        <w:t xml:space="preserve">a bírálat írásbeli (fél-egy oldalas) változatának </w:t>
      </w:r>
      <w:r w:rsidR="003D18EE" w:rsidRPr="00A13260">
        <w:rPr>
          <w:rFonts w:ascii="Georgia" w:hAnsi="Georgia"/>
          <w:sz w:val="20"/>
        </w:rPr>
        <w:t>benyújtása</w:t>
      </w:r>
      <w:r w:rsidR="00E75BEE" w:rsidRPr="00A13260">
        <w:rPr>
          <w:rFonts w:ascii="Georgia" w:hAnsi="Georgia"/>
          <w:sz w:val="20"/>
        </w:rPr>
        <w:t xml:space="preserve"> a prezentáláskor</w:t>
      </w:r>
    </w:p>
    <w:p w:rsidR="00F75C9F" w:rsidRPr="00A13260" w:rsidRDefault="00F75C9F" w:rsidP="004C11B1">
      <w:pPr>
        <w:tabs>
          <w:tab w:val="left" w:pos="284"/>
        </w:tabs>
        <w:ind w:left="360"/>
        <w:rPr>
          <w:rFonts w:ascii="Georgia" w:hAnsi="Georgia"/>
          <w:b/>
          <w:sz w:val="20"/>
        </w:rPr>
      </w:pPr>
      <w:r w:rsidRPr="00A13260">
        <w:rPr>
          <w:rFonts w:ascii="Georgia" w:hAnsi="Georgia"/>
          <w:b/>
          <w:sz w:val="20"/>
        </w:rPr>
        <w:tab/>
      </w:r>
    </w:p>
    <w:p w:rsidR="007D182E" w:rsidRPr="00A13260" w:rsidRDefault="007D182E" w:rsidP="00ED0A15">
      <w:pPr>
        <w:jc w:val="both"/>
        <w:rPr>
          <w:rFonts w:ascii="Georgia" w:hAnsi="Georgia"/>
          <w:b/>
          <w:sz w:val="20"/>
        </w:rPr>
      </w:pPr>
      <w:r w:rsidRPr="00A13260">
        <w:rPr>
          <w:rFonts w:ascii="Georgia" w:hAnsi="Georgia"/>
          <w:b/>
          <w:sz w:val="20"/>
        </w:rPr>
        <w:t>Témakörök</w:t>
      </w:r>
    </w:p>
    <w:p w:rsidR="00441147" w:rsidRPr="00A13260" w:rsidRDefault="00441147" w:rsidP="00ED0A15">
      <w:pPr>
        <w:jc w:val="both"/>
        <w:rPr>
          <w:rFonts w:ascii="Georgia" w:hAnsi="Georgia"/>
          <w:sz w:val="20"/>
        </w:rPr>
      </w:pPr>
    </w:p>
    <w:p w:rsidR="00724ABC" w:rsidRPr="00A13260" w:rsidRDefault="00724ABC" w:rsidP="00ED0A15">
      <w:pPr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>A nyilvánosság problémája</w:t>
      </w:r>
    </w:p>
    <w:p w:rsidR="00CA7D81" w:rsidRPr="00A13260" w:rsidRDefault="0013393D" w:rsidP="00724ABC">
      <w:pPr>
        <w:ind w:left="360" w:hanging="180"/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 xml:space="preserve">• </w:t>
      </w:r>
      <w:r w:rsidR="00CA7D81" w:rsidRPr="00A13260">
        <w:rPr>
          <w:rFonts w:ascii="Georgia" w:hAnsi="Georgia"/>
          <w:sz w:val="20"/>
        </w:rPr>
        <w:t xml:space="preserve">Heller Mária – Rényi Ágnes: </w:t>
      </w:r>
      <w:r w:rsidR="00CA7D81" w:rsidRPr="00A13260">
        <w:rPr>
          <w:rFonts w:ascii="Georgia" w:hAnsi="Georgia"/>
          <w:i/>
          <w:sz w:val="20"/>
        </w:rPr>
        <w:t>„Magánbűnök és közerkölcsök”: A „köz” és a „magán”</w:t>
      </w:r>
      <w:r w:rsidR="000C1751" w:rsidRPr="00A13260">
        <w:rPr>
          <w:rFonts w:ascii="Georgia" w:hAnsi="Georgia"/>
          <w:i/>
          <w:sz w:val="20"/>
        </w:rPr>
        <w:t xml:space="preserve"> ellentéte és a nyilvánosság problémája</w:t>
      </w:r>
      <w:r w:rsidR="000C1751" w:rsidRPr="00A13260">
        <w:rPr>
          <w:rFonts w:ascii="Georgia" w:hAnsi="Georgia"/>
          <w:sz w:val="20"/>
        </w:rPr>
        <w:t>. In: Szabó Márton (szerk.):</w:t>
      </w:r>
      <w:r w:rsidRPr="00A13260">
        <w:rPr>
          <w:rFonts w:ascii="Georgia" w:hAnsi="Georgia"/>
          <w:sz w:val="20"/>
        </w:rPr>
        <w:t xml:space="preserve"> </w:t>
      </w:r>
      <w:r w:rsidR="000C1751" w:rsidRPr="00A13260">
        <w:rPr>
          <w:rFonts w:ascii="Georgia" w:hAnsi="Georgia"/>
          <w:i/>
          <w:sz w:val="20"/>
        </w:rPr>
        <w:t>Szövegvalóság: Írások a szimbolikus és diszkurzív politikáról</w:t>
      </w:r>
      <w:r w:rsidR="000C1751" w:rsidRPr="00A13260">
        <w:rPr>
          <w:rFonts w:ascii="Georgia" w:hAnsi="Georgia"/>
          <w:sz w:val="20"/>
        </w:rPr>
        <w:t>, Bp.: Scientia Humana, 1997, 85-98.</w:t>
      </w:r>
    </w:p>
    <w:p w:rsidR="00441147" w:rsidRPr="00A13260" w:rsidRDefault="00441147" w:rsidP="00ED0A15">
      <w:pPr>
        <w:jc w:val="both"/>
        <w:rPr>
          <w:rFonts w:ascii="Georgia" w:hAnsi="Georgia"/>
          <w:sz w:val="20"/>
        </w:rPr>
      </w:pPr>
    </w:p>
    <w:p w:rsidR="00724ABC" w:rsidRPr="00A13260" w:rsidRDefault="00724ABC" w:rsidP="00ED0A15">
      <w:pPr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>A</w:t>
      </w:r>
      <w:r w:rsidR="00DB6465" w:rsidRPr="00A13260">
        <w:rPr>
          <w:rFonts w:ascii="Georgia" w:hAnsi="Georgia"/>
          <w:sz w:val="20"/>
        </w:rPr>
        <w:t xml:space="preserve"> diskurzus fogalma és a</w:t>
      </w:r>
      <w:r w:rsidRPr="00A13260">
        <w:rPr>
          <w:rFonts w:ascii="Georgia" w:hAnsi="Georgia"/>
          <w:sz w:val="20"/>
        </w:rPr>
        <w:t xml:space="preserve"> diszkurzív elemzés</w:t>
      </w:r>
    </w:p>
    <w:p w:rsidR="0046779E" w:rsidRPr="00A13260" w:rsidRDefault="0046779E" w:rsidP="00724ABC">
      <w:pPr>
        <w:ind w:left="360" w:hanging="180"/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 xml:space="preserve">• Carver, Terell: </w:t>
      </w:r>
      <w:r w:rsidRPr="00A13260">
        <w:rPr>
          <w:rFonts w:ascii="Georgia" w:hAnsi="Georgia"/>
          <w:i/>
          <w:sz w:val="20"/>
        </w:rPr>
        <w:t>Diskurzuselemzés és a „nyelvi fordulat”</w:t>
      </w:r>
      <w:r w:rsidRPr="00A13260">
        <w:rPr>
          <w:rFonts w:ascii="Georgia" w:hAnsi="Georgia"/>
          <w:sz w:val="20"/>
        </w:rPr>
        <w:t xml:space="preserve">. Ford. Szegedi Gábor. Politikatudományi Szemle, 2004. 4. szám. Online elérhetőség: </w:t>
      </w:r>
      <w:hyperlink r:id="rId8" w:history="1">
        <w:r w:rsidRPr="00A13260">
          <w:rPr>
            <w:rStyle w:val="Hiperhivatkozs"/>
            <w:rFonts w:ascii="Georgia" w:hAnsi="Georgia"/>
            <w:sz w:val="20"/>
          </w:rPr>
          <w:t>http://epa.oszk.hu/02500/02565/00042/pdf/EPA02565_poltud_szemle_2004_4_143-148.pdf</w:t>
        </w:r>
      </w:hyperlink>
    </w:p>
    <w:p w:rsidR="00724ABC" w:rsidRPr="00A13260" w:rsidRDefault="0013393D" w:rsidP="00724ABC">
      <w:pPr>
        <w:ind w:left="360" w:hanging="180"/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 xml:space="preserve">• Glózer Rita: </w:t>
      </w:r>
      <w:r w:rsidRPr="00A13260">
        <w:rPr>
          <w:rFonts w:ascii="Georgia" w:hAnsi="Georgia"/>
          <w:i/>
          <w:sz w:val="20"/>
        </w:rPr>
        <w:t>Diszkurzív módszerek</w:t>
      </w:r>
      <w:r w:rsidRPr="00A13260">
        <w:rPr>
          <w:rFonts w:ascii="Georgia" w:hAnsi="Georgia"/>
          <w:sz w:val="20"/>
        </w:rPr>
        <w:t xml:space="preserve">. In: Kovács Éva (szerk.): </w:t>
      </w:r>
      <w:r w:rsidRPr="00A13260">
        <w:rPr>
          <w:rFonts w:ascii="Georgia" w:hAnsi="Georgia"/>
          <w:i/>
          <w:sz w:val="20"/>
        </w:rPr>
        <w:t>Közösségtanulmány</w:t>
      </w:r>
      <w:r w:rsidRPr="00A13260">
        <w:rPr>
          <w:rFonts w:ascii="Georgia" w:hAnsi="Georgia"/>
          <w:sz w:val="20"/>
        </w:rPr>
        <w:t>, Néprajzi Múzeum – PTE-BTK Kommunikáció- és Médiatudományi Tanszék, 2007, 260-268.</w:t>
      </w:r>
    </w:p>
    <w:p w:rsidR="0013393D" w:rsidRPr="00A13260" w:rsidRDefault="0013393D" w:rsidP="00724ABC">
      <w:pPr>
        <w:ind w:left="360" w:hanging="180"/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 xml:space="preserve">• Glózer Rita: </w:t>
      </w:r>
      <w:r w:rsidRPr="00A13260">
        <w:rPr>
          <w:rFonts w:ascii="Georgia" w:hAnsi="Georgia"/>
          <w:i/>
          <w:sz w:val="20"/>
        </w:rPr>
        <w:t>Diskurzuselemzés</w:t>
      </w:r>
      <w:r w:rsidR="006E3E72" w:rsidRPr="00A13260">
        <w:rPr>
          <w:rFonts w:ascii="Georgia" w:hAnsi="Georgia"/>
          <w:sz w:val="20"/>
        </w:rPr>
        <w:t xml:space="preserve">. In: </w:t>
      </w:r>
      <w:r w:rsidR="00724ABC" w:rsidRPr="00A13260">
        <w:rPr>
          <w:rFonts w:ascii="Georgia" w:hAnsi="Georgia"/>
          <w:sz w:val="20"/>
        </w:rPr>
        <w:t xml:space="preserve">Kovács Éva (szerk.): </w:t>
      </w:r>
      <w:r w:rsidR="00724ABC" w:rsidRPr="00A13260">
        <w:rPr>
          <w:rFonts w:ascii="Georgia" w:hAnsi="Georgia"/>
          <w:i/>
          <w:sz w:val="20"/>
        </w:rPr>
        <w:t>Közösségtanulmány</w:t>
      </w:r>
      <w:r w:rsidR="00724ABC" w:rsidRPr="00A13260">
        <w:rPr>
          <w:rFonts w:ascii="Georgia" w:hAnsi="Georgia"/>
          <w:sz w:val="20"/>
        </w:rPr>
        <w:t>, Néprajzi Múzeum – PTE-BTK Kommunikáció- és Médiatudományi Tanszék, 2007,</w:t>
      </w:r>
      <w:r w:rsidR="006E3E72" w:rsidRPr="00A13260">
        <w:rPr>
          <w:rFonts w:ascii="Georgia" w:hAnsi="Georgia"/>
          <w:sz w:val="20"/>
        </w:rPr>
        <w:t xml:space="preserve"> 360-372.</w:t>
      </w:r>
    </w:p>
    <w:p w:rsidR="00441147" w:rsidRPr="00A13260" w:rsidRDefault="00441147" w:rsidP="00ED0A15">
      <w:pPr>
        <w:jc w:val="both"/>
        <w:rPr>
          <w:rFonts w:ascii="Georgia" w:hAnsi="Georgia"/>
          <w:sz w:val="20"/>
        </w:rPr>
      </w:pPr>
    </w:p>
    <w:p w:rsidR="00724ABC" w:rsidRPr="00A13260" w:rsidRDefault="00724ABC" w:rsidP="00ED0A15">
      <w:pPr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>Nyelvi és stilisztikai eszközök</w:t>
      </w:r>
    </w:p>
    <w:p w:rsidR="00306E7E" w:rsidRPr="00A13260" w:rsidRDefault="00306E7E" w:rsidP="00724ABC">
      <w:pPr>
        <w:ind w:left="360" w:hanging="180"/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 xml:space="preserve">• Síklaki István: </w:t>
      </w:r>
      <w:r w:rsidRPr="00A13260">
        <w:rPr>
          <w:rFonts w:ascii="Georgia" w:hAnsi="Georgia"/>
          <w:i/>
          <w:sz w:val="20"/>
        </w:rPr>
        <w:t>A diskurzus szerepe a társadalmi befolyásolásban</w:t>
      </w:r>
      <w:r w:rsidRPr="00A13260">
        <w:rPr>
          <w:rFonts w:ascii="Georgia" w:hAnsi="Georgia"/>
          <w:sz w:val="20"/>
        </w:rPr>
        <w:t>. In: Szabó, 1997, 99-112.</w:t>
      </w:r>
    </w:p>
    <w:p w:rsidR="00CD3A9B" w:rsidRPr="00A13260" w:rsidRDefault="00CD3A9B" w:rsidP="00724ABC">
      <w:pPr>
        <w:ind w:left="360" w:hanging="180"/>
        <w:jc w:val="both"/>
        <w:rPr>
          <w:rFonts w:ascii="Georgia" w:hAnsi="Georgia"/>
          <w:color w:val="0000FF"/>
          <w:sz w:val="20"/>
          <w:u w:val="single"/>
          <w:shd w:val="clear" w:color="auto" w:fill="FFFFFF"/>
        </w:rPr>
      </w:pPr>
      <w:r w:rsidRPr="00A13260">
        <w:rPr>
          <w:rFonts w:ascii="Georgia" w:hAnsi="Georgia"/>
          <w:sz w:val="20"/>
        </w:rPr>
        <w:t xml:space="preserve">• </w:t>
      </w:r>
      <w:r w:rsidRPr="00A13260">
        <w:rPr>
          <w:rFonts w:ascii="Georgia" w:hAnsi="Georgia"/>
          <w:sz w:val="20"/>
          <w:shd w:val="clear" w:color="auto" w:fill="FFFFFF"/>
        </w:rPr>
        <w:t xml:space="preserve">Jakusné Harnos Éva: </w:t>
      </w:r>
      <w:r w:rsidRPr="00A13260">
        <w:rPr>
          <w:rFonts w:ascii="Georgia" w:hAnsi="Georgia"/>
          <w:i/>
          <w:sz w:val="20"/>
          <w:shd w:val="clear" w:color="auto" w:fill="FFFFFF"/>
        </w:rPr>
        <w:t>A nyomtatott sajtó hírei a diskurzuselemzés szemszögéből: A diskurzuselemzés alkalmazása a nyomtatott sajtó kutatásában</w:t>
      </w:r>
      <w:r w:rsidRPr="00A13260">
        <w:rPr>
          <w:rFonts w:ascii="Georgia" w:hAnsi="Georgia"/>
          <w:sz w:val="20"/>
          <w:shd w:val="clear" w:color="auto" w:fill="FFFFFF"/>
        </w:rPr>
        <w:t>.</w:t>
      </w:r>
      <w:r w:rsidRPr="00A13260">
        <w:rPr>
          <w:rStyle w:val="apple-converted-space"/>
          <w:rFonts w:ascii="Georgia" w:hAnsi="Georgia"/>
          <w:sz w:val="20"/>
          <w:shd w:val="clear" w:color="auto" w:fill="FFFFFF"/>
        </w:rPr>
        <w:t> </w:t>
      </w:r>
      <w:r w:rsidRPr="00A13260">
        <w:rPr>
          <w:rFonts w:ascii="Georgia" w:hAnsi="Georgia"/>
          <w:iCs/>
          <w:sz w:val="20"/>
          <w:shd w:val="clear" w:color="auto" w:fill="FFFFFF"/>
        </w:rPr>
        <w:t>Magyar</w:t>
      </w:r>
      <w:r w:rsidRPr="00A13260">
        <w:rPr>
          <w:rStyle w:val="apple-converted-space"/>
          <w:rFonts w:ascii="Georgia" w:hAnsi="Georgia"/>
          <w:sz w:val="20"/>
          <w:shd w:val="clear" w:color="auto" w:fill="FFFFFF"/>
        </w:rPr>
        <w:t> </w:t>
      </w:r>
      <w:r w:rsidRPr="00A13260">
        <w:rPr>
          <w:rFonts w:ascii="Georgia" w:hAnsi="Georgia"/>
          <w:iCs/>
          <w:sz w:val="20"/>
          <w:shd w:val="clear" w:color="auto" w:fill="FFFFFF"/>
        </w:rPr>
        <w:t>Nyelvőr,</w:t>
      </w:r>
      <w:r w:rsidRPr="00A13260">
        <w:rPr>
          <w:rStyle w:val="apple-converted-space"/>
          <w:rFonts w:ascii="Georgia" w:hAnsi="Georgia"/>
          <w:iCs/>
          <w:sz w:val="20"/>
          <w:shd w:val="clear" w:color="auto" w:fill="FFFFFF"/>
        </w:rPr>
        <w:t xml:space="preserve"> 2002.</w:t>
      </w:r>
      <w:r w:rsidRPr="00A13260">
        <w:rPr>
          <w:rStyle w:val="apple-converted-space"/>
          <w:rFonts w:ascii="Georgia" w:hAnsi="Georgia"/>
          <w:i/>
          <w:iCs/>
          <w:sz w:val="20"/>
          <w:shd w:val="clear" w:color="auto" w:fill="FFFFFF"/>
        </w:rPr>
        <w:t> </w:t>
      </w:r>
      <w:r w:rsidRPr="00A13260">
        <w:rPr>
          <w:rFonts w:ascii="Georgia" w:hAnsi="Georgia"/>
          <w:sz w:val="20"/>
          <w:shd w:val="clear" w:color="auto" w:fill="FFFFFF"/>
        </w:rPr>
        <w:t>126. szám, 142–156. O</w:t>
      </w:r>
      <w:r w:rsidR="00CE1181" w:rsidRPr="00A13260">
        <w:rPr>
          <w:rFonts w:ascii="Georgia" w:hAnsi="Georgia"/>
          <w:sz w:val="20"/>
          <w:shd w:val="clear" w:color="auto" w:fill="FFFFFF"/>
        </w:rPr>
        <w:t xml:space="preserve">nline </w:t>
      </w:r>
      <w:r w:rsidRPr="00A13260">
        <w:rPr>
          <w:rFonts w:ascii="Georgia" w:hAnsi="Georgia"/>
          <w:sz w:val="20"/>
          <w:shd w:val="clear" w:color="auto" w:fill="FFFFFF"/>
        </w:rPr>
        <w:t>elérhetőség:</w:t>
      </w:r>
      <w:r w:rsidR="00CE1181" w:rsidRPr="00A13260">
        <w:rPr>
          <w:rFonts w:ascii="Georgia" w:hAnsi="Georgia"/>
          <w:color w:val="000000"/>
          <w:sz w:val="20"/>
          <w:shd w:val="clear" w:color="auto" w:fill="FFFFFF"/>
        </w:rPr>
        <w:t xml:space="preserve"> </w:t>
      </w:r>
      <w:hyperlink r:id="rId9" w:tgtFrame="_blank" w:history="1">
        <w:r w:rsidRPr="00A13260">
          <w:rPr>
            <w:rStyle w:val="Hiperhivatkozs"/>
            <w:rFonts w:ascii="Georgia" w:hAnsi="Georgia"/>
            <w:color w:val="1155CC"/>
            <w:sz w:val="20"/>
            <w:shd w:val="clear" w:color="auto" w:fill="FFFFFF"/>
          </w:rPr>
          <w:t>http://www.c3.hu/~nyelvor/period/1262/126203.pdf</w:t>
        </w:r>
      </w:hyperlink>
    </w:p>
    <w:p w:rsidR="00724ABC" w:rsidRPr="00A13260" w:rsidRDefault="00724ABC" w:rsidP="00724ABC">
      <w:pPr>
        <w:ind w:left="360" w:hanging="180"/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 xml:space="preserve">• Kenyeres László – Mészáros Zoltán: </w:t>
      </w:r>
      <w:r w:rsidRPr="00A13260">
        <w:rPr>
          <w:rFonts w:ascii="Georgia" w:hAnsi="Georgia"/>
          <w:i/>
          <w:sz w:val="20"/>
        </w:rPr>
        <w:t>Kábítószerkép a nyomtatott sajtóban</w:t>
      </w:r>
      <w:r w:rsidRPr="00A13260">
        <w:rPr>
          <w:rFonts w:ascii="Georgia" w:hAnsi="Georgia"/>
          <w:sz w:val="20"/>
        </w:rPr>
        <w:t xml:space="preserve">. Médiakutató, 2005. 3. szám. Online elérhetősége: </w:t>
      </w:r>
      <w:hyperlink r:id="rId10" w:history="1">
        <w:r w:rsidRPr="00A13260">
          <w:rPr>
            <w:rStyle w:val="Hiperhivatkozs"/>
            <w:rFonts w:ascii="Georgia" w:hAnsi="Georgia"/>
            <w:sz w:val="20"/>
          </w:rPr>
          <w:t>http://www.mediakutato.hu/cikk/2005_03_osz/06_kabitoszerkep/01.html</w:t>
        </w:r>
      </w:hyperlink>
    </w:p>
    <w:p w:rsidR="00441147" w:rsidRPr="00A13260" w:rsidRDefault="00441147" w:rsidP="00ED0A15">
      <w:pPr>
        <w:jc w:val="both"/>
        <w:rPr>
          <w:rFonts w:ascii="Georgia" w:hAnsi="Georgia"/>
          <w:sz w:val="20"/>
        </w:rPr>
      </w:pPr>
    </w:p>
    <w:p w:rsidR="00C07B6C" w:rsidRPr="00A13260" w:rsidRDefault="00EA0132" w:rsidP="00C07B6C">
      <w:pPr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>Közös sajtóelemzés</w:t>
      </w:r>
    </w:p>
    <w:p w:rsidR="00724ABC" w:rsidRPr="00A13260" w:rsidRDefault="00C07B6C" w:rsidP="00C07B6C">
      <w:pPr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 xml:space="preserve">+ </w:t>
      </w:r>
    </w:p>
    <w:p w:rsidR="00C07B6C" w:rsidRPr="00A13260" w:rsidRDefault="00C07B6C" w:rsidP="00C07B6C">
      <w:pPr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>Tájékoztatás a későbbi elemzések forma</w:t>
      </w:r>
      <w:r w:rsidR="00724ABC" w:rsidRPr="00A13260">
        <w:rPr>
          <w:rFonts w:ascii="Georgia" w:hAnsi="Georgia"/>
          <w:sz w:val="20"/>
        </w:rPr>
        <w:t>i és tartalmi követelményeiről.</w:t>
      </w:r>
    </w:p>
    <w:p w:rsidR="00441147" w:rsidRPr="00A13260" w:rsidRDefault="00441147" w:rsidP="00ED0A15">
      <w:pPr>
        <w:jc w:val="both"/>
        <w:rPr>
          <w:rFonts w:ascii="Georgia" w:hAnsi="Georgia"/>
          <w:sz w:val="20"/>
        </w:rPr>
      </w:pPr>
    </w:p>
    <w:p w:rsidR="00441147" w:rsidRPr="00A13260" w:rsidRDefault="00DB1A3D" w:rsidP="00ED0A15">
      <w:pPr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>Közös sajtóelemzés</w:t>
      </w:r>
    </w:p>
    <w:p w:rsidR="002028AF" w:rsidRPr="00A13260" w:rsidRDefault="002028AF" w:rsidP="00ED0A15">
      <w:pPr>
        <w:jc w:val="both"/>
        <w:rPr>
          <w:rFonts w:ascii="Georgia" w:hAnsi="Georgia"/>
          <w:sz w:val="20"/>
        </w:rPr>
      </w:pPr>
    </w:p>
    <w:p w:rsidR="00DF501F" w:rsidRDefault="00DF501F" w:rsidP="00ED0A15">
      <w:pPr>
        <w:jc w:val="both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Kitérő: a szaklapújságírásról</w:t>
      </w:r>
    </w:p>
    <w:p w:rsidR="00DF501F" w:rsidRDefault="00DF501F" w:rsidP="00DF501F">
      <w:pPr>
        <w:ind w:left="284"/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 xml:space="preserve">• </w:t>
      </w:r>
      <w:r>
        <w:rPr>
          <w:rFonts w:ascii="Georgia" w:hAnsi="Georgia"/>
          <w:sz w:val="20"/>
        </w:rPr>
        <w:t xml:space="preserve">Peck, Abe: </w:t>
      </w:r>
      <w:r w:rsidRPr="00DF501F">
        <w:rPr>
          <w:rFonts w:ascii="Georgia" w:hAnsi="Georgia"/>
          <w:i/>
          <w:sz w:val="20"/>
        </w:rPr>
        <w:t>Business-to-Business Media: The Informational Needs of Professional Life</w:t>
      </w:r>
      <w:r>
        <w:rPr>
          <w:rFonts w:ascii="Georgia" w:hAnsi="Georgia"/>
          <w:sz w:val="20"/>
        </w:rPr>
        <w:t xml:space="preserve">. In: Abrahamson, David – Prior-Miller, Marcia R. (szerk.): </w:t>
      </w:r>
      <w:r w:rsidRPr="00DF501F">
        <w:rPr>
          <w:rFonts w:ascii="Georgia" w:hAnsi="Georgia"/>
          <w:i/>
          <w:sz w:val="20"/>
        </w:rPr>
        <w:t>The Routledge Handbook of Magazine Research</w:t>
      </w:r>
      <w:r>
        <w:rPr>
          <w:rFonts w:ascii="Georgia" w:hAnsi="Georgia"/>
          <w:i/>
          <w:sz w:val="20"/>
        </w:rPr>
        <w:t>: The Future of the Magazine Form</w:t>
      </w:r>
      <w:r>
        <w:rPr>
          <w:rFonts w:ascii="Georgia" w:hAnsi="Georgia"/>
          <w:sz w:val="20"/>
        </w:rPr>
        <w:t>. New York – London:</w:t>
      </w:r>
      <w:r w:rsidR="002D63D6">
        <w:rPr>
          <w:rFonts w:ascii="Georgia" w:hAnsi="Georgia"/>
          <w:sz w:val="20"/>
        </w:rPr>
        <w:t xml:space="preserve"> Routledge, 2018, 98-118.</w:t>
      </w:r>
    </w:p>
    <w:p w:rsidR="00DF501F" w:rsidRDefault="00DF501F" w:rsidP="00DF501F">
      <w:pPr>
        <w:ind w:left="284"/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lastRenderedPageBreak/>
        <w:t>•</w:t>
      </w:r>
      <w:r>
        <w:rPr>
          <w:rFonts w:ascii="Georgia" w:hAnsi="Georgia"/>
          <w:sz w:val="20"/>
        </w:rPr>
        <w:t xml:space="preserve"> Elfenbein, Julien: </w:t>
      </w:r>
      <w:r w:rsidRPr="00DF501F">
        <w:rPr>
          <w:rFonts w:ascii="Georgia" w:hAnsi="Georgia"/>
          <w:i/>
          <w:sz w:val="20"/>
        </w:rPr>
        <w:t>Businesspapers: The Place To Start the Magazine Career?</w:t>
      </w:r>
      <w:r>
        <w:rPr>
          <w:rFonts w:ascii="Georgia" w:hAnsi="Georgia"/>
          <w:i/>
          <w:sz w:val="20"/>
        </w:rPr>
        <w:t xml:space="preserve"> </w:t>
      </w:r>
      <w:r w:rsidR="002D63D6">
        <w:rPr>
          <w:rFonts w:ascii="Georgia" w:hAnsi="Georgia"/>
          <w:sz w:val="20"/>
        </w:rPr>
        <w:t xml:space="preserve">Journalism Quaterly, 1948. </w:t>
      </w:r>
      <w:r w:rsidR="004E0920">
        <w:rPr>
          <w:rFonts w:ascii="Georgia" w:hAnsi="Georgia"/>
          <w:sz w:val="20"/>
        </w:rPr>
        <w:t>25</w:t>
      </w:r>
      <w:r w:rsidR="002D63D6">
        <w:rPr>
          <w:rFonts w:ascii="Georgia" w:hAnsi="Georgia"/>
          <w:sz w:val="20"/>
        </w:rPr>
        <w:t>. szám. 233-238.</w:t>
      </w:r>
      <w:r>
        <w:rPr>
          <w:rFonts w:ascii="Georgia" w:hAnsi="Georgia"/>
          <w:sz w:val="20"/>
        </w:rPr>
        <w:t xml:space="preserve"> </w:t>
      </w:r>
    </w:p>
    <w:p w:rsidR="002D63D6" w:rsidRDefault="002D63D6" w:rsidP="00DF501F">
      <w:pPr>
        <w:ind w:left="284"/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>•</w:t>
      </w:r>
      <w:r>
        <w:rPr>
          <w:rFonts w:ascii="Georgia" w:hAnsi="Georgia"/>
          <w:sz w:val="20"/>
        </w:rPr>
        <w:t xml:space="preserve"> Clinton, Patrick: </w:t>
      </w:r>
      <w:r>
        <w:rPr>
          <w:rFonts w:ascii="Georgia" w:hAnsi="Georgia"/>
          <w:i/>
          <w:sz w:val="20"/>
        </w:rPr>
        <w:t>G</w:t>
      </w:r>
      <w:r w:rsidRPr="002D63D6">
        <w:rPr>
          <w:rFonts w:ascii="Georgia" w:hAnsi="Georgia"/>
          <w:i/>
          <w:sz w:val="20"/>
        </w:rPr>
        <w:t>u</w:t>
      </w:r>
      <w:r>
        <w:rPr>
          <w:rFonts w:ascii="Georgia" w:hAnsi="Georgia"/>
          <w:i/>
          <w:sz w:val="20"/>
        </w:rPr>
        <w:t>i</w:t>
      </w:r>
      <w:r w:rsidRPr="002D63D6">
        <w:rPr>
          <w:rFonts w:ascii="Georgia" w:hAnsi="Georgia"/>
          <w:i/>
          <w:sz w:val="20"/>
        </w:rPr>
        <w:t>de to Writing for the Business Press</w:t>
      </w:r>
      <w:r>
        <w:rPr>
          <w:rFonts w:ascii="Georgia" w:hAnsi="Georgia"/>
          <w:sz w:val="20"/>
        </w:rPr>
        <w:t>.</w:t>
      </w:r>
      <w:r w:rsidR="004E0920">
        <w:rPr>
          <w:rFonts w:ascii="Georgia" w:hAnsi="Georgia"/>
          <w:sz w:val="20"/>
        </w:rPr>
        <w:t xml:space="preserve"> Lincolnwood, Illinois: NTC Business Books, 1997.</w:t>
      </w:r>
    </w:p>
    <w:p w:rsidR="00E83771" w:rsidRDefault="00E83771" w:rsidP="00E83771">
      <w:pPr>
        <w:ind w:left="284"/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>•</w:t>
      </w:r>
      <w:r>
        <w:rPr>
          <w:rFonts w:ascii="Georgia" w:hAnsi="Georgia"/>
          <w:sz w:val="20"/>
        </w:rPr>
        <w:t xml:space="preserve"> Sachs, Harley L.: </w:t>
      </w:r>
      <w:r>
        <w:rPr>
          <w:rFonts w:ascii="Georgia" w:hAnsi="Georgia"/>
          <w:i/>
          <w:sz w:val="20"/>
        </w:rPr>
        <w:t>Breaking Into Trade Journalism</w:t>
      </w:r>
      <w:r>
        <w:rPr>
          <w:rFonts w:ascii="Georgia" w:hAnsi="Georgia"/>
          <w:sz w:val="20"/>
        </w:rPr>
        <w:t>. Technical Communication, 1976. 4. szám. 7-9.</w:t>
      </w:r>
    </w:p>
    <w:p w:rsidR="004E0920" w:rsidRDefault="004E0920" w:rsidP="00DF501F">
      <w:pPr>
        <w:ind w:left="284"/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>•</w:t>
      </w:r>
      <w:r>
        <w:rPr>
          <w:rFonts w:ascii="Georgia" w:hAnsi="Georgia"/>
          <w:sz w:val="20"/>
        </w:rPr>
        <w:t xml:space="preserve"> Sachs, Harley L.: </w:t>
      </w:r>
      <w:r w:rsidRPr="004E0920">
        <w:rPr>
          <w:rFonts w:ascii="Georgia" w:hAnsi="Georgia"/>
          <w:i/>
          <w:sz w:val="20"/>
        </w:rPr>
        <w:t>The Thrill in Business Writing</w:t>
      </w:r>
      <w:r>
        <w:rPr>
          <w:rFonts w:ascii="Georgia" w:hAnsi="Georgia"/>
          <w:sz w:val="20"/>
        </w:rPr>
        <w:t>. Journal of Technical Writing and Communication, 1971. 1. szám. 219-222.</w:t>
      </w:r>
    </w:p>
    <w:p w:rsidR="00DF501F" w:rsidRDefault="00DF501F" w:rsidP="00ED0A15">
      <w:pPr>
        <w:jc w:val="both"/>
        <w:rPr>
          <w:rFonts w:ascii="Georgia" w:hAnsi="Georgia"/>
          <w:sz w:val="20"/>
        </w:rPr>
      </w:pPr>
    </w:p>
    <w:p w:rsidR="00CB208F" w:rsidRPr="00A13260" w:rsidRDefault="00CB208F" w:rsidP="00ED0A15">
      <w:pPr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>Önálló elemzés készítése</w:t>
      </w:r>
    </w:p>
    <w:p w:rsidR="00CB208F" w:rsidRPr="00A13260" w:rsidRDefault="00CB208F" w:rsidP="00ED0A15">
      <w:pPr>
        <w:jc w:val="both"/>
        <w:rPr>
          <w:rFonts w:ascii="Georgia" w:hAnsi="Georgia"/>
          <w:sz w:val="20"/>
        </w:rPr>
      </w:pPr>
    </w:p>
    <w:p w:rsidR="00BE6A94" w:rsidRPr="00A13260" w:rsidRDefault="00CB208F" w:rsidP="002D3AE6">
      <w:pPr>
        <w:ind w:left="284" w:hanging="284"/>
        <w:jc w:val="both"/>
        <w:rPr>
          <w:rFonts w:ascii="Georgia" w:hAnsi="Georgia"/>
          <w:sz w:val="20"/>
        </w:rPr>
      </w:pPr>
      <w:r w:rsidRPr="00A13260">
        <w:rPr>
          <w:rFonts w:ascii="Georgia" w:hAnsi="Georgia"/>
          <w:sz w:val="20"/>
        </w:rPr>
        <w:t>Elemzés-prezentációk</w:t>
      </w:r>
      <w:r w:rsidR="00FE6EC7">
        <w:rPr>
          <w:rFonts w:ascii="Georgia" w:hAnsi="Georgia"/>
          <w:sz w:val="20"/>
        </w:rPr>
        <w:t xml:space="preserve"> (több alkalom)</w:t>
      </w:r>
    </w:p>
    <w:p w:rsidR="007424D8" w:rsidRPr="00A13260" w:rsidRDefault="007424D8" w:rsidP="00FE6EC7">
      <w:pPr>
        <w:jc w:val="both"/>
        <w:rPr>
          <w:rFonts w:ascii="Georgia" w:hAnsi="Georgia"/>
          <w:sz w:val="20"/>
        </w:rPr>
      </w:pPr>
    </w:p>
    <w:sectPr w:rsidR="007424D8" w:rsidRPr="00A13260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17B" w:rsidRDefault="0052117B">
      <w:r>
        <w:separator/>
      </w:r>
    </w:p>
  </w:endnote>
  <w:endnote w:type="continuationSeparator" w:id="0">
    <w:p w:rsidR="0052117B" w:rsidRDefault="0052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168" w:rsidRDefault="00011168" w:rsidP="00CF5D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11168" w:rsidRDefault="0001116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168" w:rsidRPr="00B21880" w:rsidRDefault="00011168" w:rsidP="00CF5D3C">
    <w:pPr>
      <w:pStyle w:val="llb"/>
      <w:framePr w:wrap="around" w:vAnchor="text" w:hAnchor="margin" w:xAlign="center" w:y="1"/>
      <w:rPr>
        <w:rStyle w:val="Oldalszm"/>
        <w:sz w:val="20"/>
      </w:rPr>
    </w:pPr>
    <w:r w:rsidRPr="00B21880">
      <w:rPr>
        <w:rStyle w:val="Oldalszm"/>
        <w:sz w:val="20"/>
      </w:rPr>
      <w:fldChar w:fldCharType="begin"/>
    </w:r>
    <w:r w:rsidRPr="00B21880">
      <w:rPr>
        <w:rStyle w:val="Oldalszm"/>
        <w:sz w:val="20"/>
      </w:rPr>
      <w:instrText xml:space="preserve">PAGE  </w:instrText>
    </w:r>
    <w:r w:rsidRPr="00B21880">
      <w:rPr>
        <w:rStyle w:val="Oldalszm"/>
        <w:sz w:val="20"/>
      </w:rPr>
      <w:fldChar w:fldCharType="separate"/>
    </w:r>
    <w:r w:rsidR="00421FAD">
      <w:rPr>
        <w:rStyle w:val="Oldalszm"/>
        <w:noProof/>
        <w:sz w:val="20"/>
      </w:rPr>
      <w:t>1</w:t>
    </w:r>
    <w:r w:rsidRPr="00B21880">
      <w:rPr>
        <w:rStyle w:val="Oldalszm"/>
        <w:sz w:val="20"/>
      </w:rPr>
      <w:fldChar w:fldCharType="end"/>
    </w:r>
  </w:p>
  <w:p w:rsidR="00011168" w:rsidRDefault="000111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17B" w:rsidRDefault="0052117B">
      <w:r>
        <w:separator/>
      </w:r>
    </w:p>
  </w:footnote>
  <w:footnote w:type="continuationSeparator" w:id="0">
    <w:p w:rsidR="0052117B" w:rsidRDefault="00521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573E7"/>
    <w:multiLevelType w:val="hybridMultilevel"/>
    <w:tmpl w:val="35B4B02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7D"/>
    <w:rsid w:val="000009B6"/>
    <w:rsid w:val="000018FC"/>
    <w:rsid w:val="000042DB"/>
    <w:rsid w:val="00011168"/>
    <w:rsid w:val="0003390B"/>
    <w:rsid w:val="00037A47"/>
    <w:rsid w:val="00044881"/>
    <w:rsid w:val="00050BF5"/>
    <w:rsid w:val="00055DDE"/>
    <w:rsid w:val="00073C95"/>
    <w:rsid w:val="000A218C"/>
    <w:rsid w:val="000C1751"/>
    <w:rsid w:val="000F7296"/>
    <w:rsid w:val="0011261A"/>
    <w:rsid w:val="0011528E"/>
    <w:rsid w:val="00121503"/>
    <w:rsid w:val="0013393D"/>
    <w:rsid w:val="0016183B"/>
    <w:rsid w:val="00176097"/>
    <w:rsid w:val="001934E8"/>
    <w:rsid w:val="001B261B"/>
    <w:rsid w:val="001B7CCE"/>
    <w:rsid w:val="001C1CDE"/>
    <w:rsid w:val="001C267E"/>
    <w:rsid w:val="001C6C72"/>
    <w:rsid w:val="001D0CE9"/>
    <w:rsid w:val="001D25E0"/>
    <w:rsid w:val="001D3F74"/>
    <w:rsid w:val="00200F5C"/>
    <w:rsid w:val="002028AF"/>
    <w:rsid w:val="0025294F"/>
    <w:rsid w:val="00255D06"/>
    <w:rsid w:val="00261D9D"/>
    <w:rsid w:val="00265536"/>
    <w:rsid w:val="002861F7"/>
    <w:rsid w:val="002A71E0"/>
    <w:rsid w:val="002B3512"/>
    <w:rsid w:val="002C6B75"/>
    <w:rsid w:val="002D3AE6"/>
    <w:rsid w:val="002D63D6"/>
    <w:rsid w:val="002D757E"/>
    <w:rsid w:val="002F5077"/>
    <w:rsid w:val="00306E7E"/>
    <w:rsid w:val="00324861"/>
    <w:rsid w:val="00327F3D"/>
    <w:rsid w:val="00352B16"/>
    <w:rsid w:val="00376A38"/>
    <w:rsid w:val="0038266B"/>
    <w:rsid w:val="003C43E0"/>
    <w:rsid w:val="003D18EE"/>
    <w:rsid w:val="003D334F"/>
    <w:rsid w:val="003E433F"/>
    <w:rsid w:val="00421FAD"/>
    <w:rsid w:val="0043033E"/>
    <w:rsid w:val="004326DA"/>
    <w:rsid w:val="00441147"/>
    <w:rsid w:val="00447B91"/>
    <w:rsid w:val="00457209"/>
    <w:rsid w:val="00457C7F"/>
    <w:rsid w:val="0046779E"/>
    <w:rsid w:val="004917E3"/>
    <w:rsid w:val="004C11B1"/>
    <w:rsid w:val="004D7EAA"/>
    <w:rsid w:val="004E0920"/>
    <w:rsid w:val="005078B3"/>
    <w:rsid w:val="00514B59"/>
    <w:rsid w:val="0052117B"/>
    <w:rsid w:val="0052382A"/>
    <w:rsid w:val="00531851"/>
    <w:rsid w:val="00541566"/>
    <w:rsid w:val="00542A91"/>
    <w:rsid w:val="00544688"/>
    <w:rsid w:val="005571D4"/>
    <w:rsid w:val="00570A8A"/>
    <w:rsid w:val="005759FC"/>
    <w:rsid w:val="00585595"/>
    <w:rsid w:val="00586E3D"/>
    <w:rsid w:val="00587DF6"/>
    <w:rsid w:val="00593CA5"/>
    <w:rsid w:val="005A3599"/>
    <w:rsid w:val="005F3BA0"/>
    <w:rsid w:val="00663AAF"/>
    <w:rsid w:val="00666B16"/>
    <w:rsid w:val="006766FE"/>
    <w:rsid w:val="00681D60"/>
    <w:rsid w:val="006853E0"/>
    <w:rsid w:val="00694283"/>
    <w:rsid w:val="006B38A5"/>
    <w:rsid w:val="006D31C6"/>
    <w:rsid w:val="006D74DE"/>
    <w:rsid w:val="006E3E72"/>
    <w:rsid w:val="006E717D"/>
    <w:rsid w:val="006F193B"/>
    <w:rsid w:val="006F3DD2"/>
    <w:rsid w:val="00710385"/>
    <w:rsid w:val="00711D88"/>
    <w:rsid w:val="00723CFF"/>
    <w:rsid w:val="00724ABC"/>
    <w:rsid w:val="0074032D"/>
    <w:rsid w:val="007424D8"/>
    <w:rsid w:val="007535C9"/>
    <w:rsid w:val="00764CC5"/>
    <w:rsid w:val="00792ED0"/>
    <w:rsid w:val="00793C8D"/>
    <w:rsid w:val="007B6828"/>
    <w:rsid w:val="007C2BDE"/>
    <w:rsid w:val="007D182E"/>
    <w:rsid w:val="0082270A"/>
    <w:rsid w:val="00845954"/>
    <w:rsid w:val="0087614A"/>
    <w:rsid w:val="00876B68"/>
    <w:rsid w:val="00895A3E"/>
    <w:rsid w:val="008A2B21"/>
    <w:rsid w:val="008A3892"/>
    <w:rsid w:val="008A3C52"/>
    <w:rsid w:val="008B21A3"/>
    <w:rsid w:val="008D3E74"/>
    <w:rsid w:val="008E7E50"/>
    <w:rsid w:val="00973FE2"/>
    <w:rsid w:val="009E11E6"/>
    <w:rsid w:val="009F10B2"/>
    <w:rsid w:val="00A13260"/>
    <w:rsid w:val="00A2563C"/>
    <w:rsid w:val="00A2611D"/>
    <w:rsid w:val="00A43228"/>
    <w:rsid w:val="00A45372"/>
    <w:rsid w:val="00A81EB9"/>
    <w:rsid w:val="00A837F0"/>
    <w:rsid w:val="00A97004"/>
    <w:rsid w:val="00AA26D8"/>
    <w:rsid w:val="00AC4A73"/>
    <w:rsid w:val="00AD3D02"/>
    <w:rsid w:val="00AE5300"/>
    <w:rsid w:val="00AE5A7E"/>
    <w:rsid w:val="00AE6F63"/>
    <w:rsid w:val="00AF3843"/>
    <w:rsid w:val="00B0485A"/>
    <w:rsid w:val="00B21880"/>
    <w:rsid w:val="00B2429C"/>
    <w:rsid w:val="00B27CC4"/>
    <w:rsid w:val="00B4145D"/>
    <w:rsid w:val="00B44BF1"/>
    <w:rsid w:val="00B454BE"/>
    <w:rsid w:val="00B45D50"/>
    <w:rsid w:val="00B9223E"/>
    <w:rsid w:val="00BB624A"/>
    <w:rsid w:val="00BC3FEF"/>
    <w:rsid w:val="00BD71EF"/>
    <w:rsid w:val="00BE6A94"/>
    <w:rsid w:val="00C07B6C"/>
    <w:rsid w:val="00C137E2"/>
    <w:rsid w:val="00C243B3"/>
    <w:rsid w:val="00C42840"/>
    <w:rsid w:val="00C62820"/>
    <w:rsid w:val="00C73CCE"/>
    <w:rsid w:val="00C92F30"/>
    <w:rsid w:val="00CA7D81"/>
    <w:rsid w:val="00CB208F"/>
    <w:rsid w:val="00CB6345"/>
    <w:rsid w:val="00CD3A9B"/>
    <w:rsid w:val="00CE1181"/>
    <w:rsid w:val="00CE358E"/>
    <w:rsid w:val="00CE68D2"/>
    <w:rsid w:val="00CF48C3"/>
    <w:rsid w:val="00CF5D3C"/>
    <w:rsid w:val="00D341B2"/>
    <w:rsid w:val="00D4398C"/>
    <w:rsid w:val="00D47AFA"/>
    <w:rsid w:val="00D5526F"/>
    <w:rsid w:val="00D61423"/>
    <w:rsid w:val="00D90D42"/>
    <w:rsid w:val="00D912B3"/>
    <w:rsid w:val="00DA2CA8"/>
    <w:rsid w:val="00DB1A3D"/>
    <w:rsid w:val="00DB6465"/>
    <w:rsid w:val="00DF501F"/>
    <w:rsid w:val="00DF65D3"/>
    <w:rsid w:val="00E518DE"/>
    <w:rsid w:val="00E65647"/>
    <w:rsid w:val="00E677FB"/>
    <w:rsid w:val="00E75BEE"/>
    <w:rsid w:val="00E83771"/>
    <w:rsid w:val="00E837CD"/>
    <w:rsid w:val="00E87150"/>
    <w:rsid w:val="00E923F7"/>
    <w:rsid w:val="00EA0132"/>
    <w:rsid w:val="00EB5A8F"/>
    <w:rsid w:val="00ED0A15"/>
    <w:rsid w:val="00ED207A"/>
    <w:rsid w:val="00EE5AE7"/>
    <w:rsid w:val="00F10151"/>
    <w:rsid w:val="00F2448C"/>
    <w:rsid w:val="00F2696D"/>
    <w:rsid w:val="00F354EE"/>
    <w:rsid w:val="00F61E65"/>
    <w:rsid w:val="00F75C9F"/>
    <w:rsid w:val="00FB4D32"/>
    <w:rsid w:val="00FE6EC7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6BC60B-D3A0-431F-A2AB-212E6C07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182E"/>
    <w:rPr>
      <w:sz w:val="24"/>
    </w:rPr>
  </w:style>
  <w:style w:type="paragraph" w:styleId="Cmsor2">
    <w:name w:val="heading 2"/>
    <w:basedOn w:val="Norml"/>
    <w:next w:val="Norml"/>
    <w:qFormat/>
    <w:rsid w:val="007D182E"/>
    <w:pPr>
      <w:keepNext/>
      <w:spacing w:line="360" w:lineRule="auto"/>
      <w:ind w:left="284" w:right="284"/>
      <w:jc w:val="both"/>
      <w:outlineLvl w:val="1"/>
    </w:p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7D182E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CD3A9B"/>
  </w:style>
  <w:style w:type="paragraph" w:styleId="llb">
    <w:name w:val="footer"/>
    <w:basedOn w:val="Norml"/>
    <w:rsid w:val="00B2188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21880"/>
  </w:style>
  <w:style w:type="paragraph" w:styleId="lfej">
    <w:name w:val="header"/>
    <w:basedOn w:val="Norml"/>
    <w:rsid w:val="00B2188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a.oszk.hu/02500/02565/00042/pdf/EPA02565_poltud_szemle_2004_4_143-148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bestyen.attila@arts.unideb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ediakutato.hu/cikk/2005_03_osz/06_kabitoszerkep/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3.hu/~nyelvor/period/1262/12620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BTKM305BA Írásgyakorlat</vt:lpstr>
    </vt:vector>
  </TitlesOfParts>
  <Company>x</Company>
  <LinksUpToDate>false</LinksUpToDate>
  <CharactersWithSpaces>3990</CharactersWithSpaces>
  <SharedDoc>false</SharedDoc>
  <HLinks>
    <vt:vector size="24" baseType="variant">
      <vt:variant>
        <vt:i4>7864401</vt:i4>
      </vt:variant>
      <vt:variant>
        <vt:i4>9</vt:i4>
      </vt:variant>
      <vt:variant>
        <vt:i4>0</vt:i4>
      </vt:variant>
      <vt:variant>
        <vt:i4>5</vt:i4>
      </vt:variant>
      <vt:variant>
        <vt:lpwstr>http://www.mediakutato.hu/cikk/2005_03_osz/06_kabitoszerkep/01.html</vt:lpwstr>
      </vt:variant>
      <vt:variant>
        <vt:lpwstr/>
      </vt:variant>
      <vt:variant>
        <vt:i4>6094868</vt:i4>
      </vt:variant>
      <vt:variant>
        <vt:i4>6</vt:i4>
      </vt:variant>
      <vt:variant>
        <vt:i4>0</vt:i4>
      </vt:variant>
      <vt:variant>
        <vt:i4>5</vt:i4>
      </vt:variant>
      <vt:variant>
        <vt:lpwstr>http://www.c3.hu/~nyelvor/period/1262/126203.pdf</vt:lpwstr>
      </vt:variant>
      <vt:variant>
        <vt:lpwstr/>
      </vt:variant>
      <vt:variant>
        <vt:i4>6815759</vt:i4>
      </vt:variant>
      <vt:variant>
        <vt:i4>3</vt:i4>
      </vt:variant>
      <vt:variant>
        <vt:i4>0</vt:i4>
      </vt:variant>
      <vt:variant>
        <vt:i4>5</vt:i4>
      </vt:variant>
      <vt:variant>
        <vt:lpwstr>http://epa.oszk.hu/02500/02565/00042/pdf/EPA02565_poltud_szemle_2004_4_143-148.pdf</vt:lpwstr>
      </vt:variant>
      <vt:variant>
        <vt:lpwstr/>
      </vt:variant>
      <vt:variant>
        <vt:i4>852018</vt:i4>
      </vt:variant>
      <vt:variant>
        <vt:i4>0</vt:i4>
      </vt:variant>
      <vt:variant>
        <vt:i4>0</vt:i4>
      </vt:variant>
      <vt:variant>
        <vt:i4>5</vt:i4>
      </vt:variant>
      <vt:variant>
        <vt:lpwstr>mailto:sebestyen.attila@arts.unideb.hu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BTKM305BA Írásgyakorlat</dc:title>
  <dc:subject/>
  <dc:creator>Míra</dc:creator>
  <cp:keywords/>
  <dc:description/>
  <cp:lastModifiedBy>User</cp:lastModifiedBy>
  <cp:revision>2</cp:revision>
  <dcterms:created xsi:type="dcterms:W3CDTF">2026-02-20T11:39:00Z</dcterms:created>
  <dcterms:modified xsi:type="dcterms:W3CDTF">2026-02-20T11:39:00Z</dcterms:modified>
</cp:coreProperties>
</file>